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325"/>
        <w:tblW w:w="1680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8"/>
        <w:gridCol w:w="631"/>
        <w:gridCol w:w="13961"/>
      </w:tblGrid>
      <w:tr w:rsidR="003E5E6E" w:rsidRPr="003E5E6E" w14:paraId="03CECF56" w14:textId="77777777" w:rsidTr="003E5E6E">
        <w:tc>
          <w:tcPr>
            <w:tcW w:w="0" w:type="auto"/>
            <w:vMerge w:val="restart"/>
            <w:tcBorders>
              <w:top w:val="outset" w:sz="6" w:space="0" w:color="auto"/>
              <w:left w:val="outset" w:sz="6" w:space="0" w:color="auto"/>
              <w:bottom w:val="outset" w:sz="6" w:space="0" w:color="auto"/>
              <w:right w:val="outset" w:sz="6" w:space="0" w:color="auto"/>
            </w:tcBorders>
            <w:shd w:val="clear" w:color="auto" w:fill="DDDDDD"/>
            <w:tcMar>
              <w:top w:w="168" w:type="dxa"/>
              <w:left w:w="168" w:type="dxa"/>
              <w:bottom w:w="168" w:type="dxa"/>
              <w:right w:w="168" w:type="dxa"/>
            </w:tcMar>
            <w:vAlign w:val="center"/>
            <w:hideMark/>
          </w:tcPr>
          <w:p w14:paraId="57416F2E" w14:textId="77777777" w:rsidR="003E5E6E" w:rsidRPr="003E5E6E" w:rsidRDefault="003E5E6E" w:rsidP="003E5E6E">
            <w:r w:rsidRPr="003E5E6E">
              <w:rPr>
                <w:b/>
                <w:bCs/>
              </w:rPr>
              <w:t>PROFICIENT USER</w:t>
            </w:r>
          </w:p>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0453105B" w14:textId="77777777" w:rsidR="003E5E6E" w:rsidRPr="003E5E6E" w:rsidRDefault="003E5E6E" w:rsidP="003E5E6E">
            <w:r w:rsidRPr="003E5E6E">
              <w:t>C2</w:t>
            </w:r>
          </w:p>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01A721F8" w14:textId="77777777" w:rsidR="003E5E6E" w:rsidRPr="003E5E6E" w:rsidRDefault="003E5E6E" w:rsidP="003E5E6E">
            <w:r w:rsidRPr="003E5E6E">
              <w:t xml:space="preserve">Can understand with ease virtually </w:t>
            </w:r>
            <w:proofErr w:type="gramStart"/>
            <w:r w:rsidRPr="003E5E6E">
              <w:t>everything</w:t>
            </w:r>
            <w:proofErr w:type="gramEnd"/>
            <w:r w:rsidRPr="003E5E6E">
              <w:t xml:space="preserve"> </w:t>
            </w:r>
            <w:proofErr w:type="gramStart"/>
            <w:r w:rsidRPr="003E5E6E">
              <w:t>heard</w:t>
            </w:r>
            <w:proofErr w:type="gramEnd"/>
            <w:r w:rsidRPr="003E5E6E">
              <w:t xml:space="preserve"> or </w:t>
            </w:r>
            <w:proofErr w:type="gramStart"/>
            <w:r w:rsidRPr="003E5E6E">
              <w:t>read</w:t>
            </w:r>
            <w:proofErr w:type="gramEnd"/>
            <w:r w:rsidRPr="003E5E6E">
              <w:t xml:space="preserve">. </w:t>
            </w:r>
            <w:proofErr w:type="gramStart"/>
            <w:r w:rsidRPr="003E5E6E">
              <w:t>Can</w:t>
            </w:r>
            <w:proofErr w:type="gramEnd"/>
            <w:r w:rsidRPr="003E5E6E">
              <w:t xml:space="preserve"> </w:t>
            </w:r>
            <w:proofErr w:type="spellStart"/>
            <w:r w:rsidRPr="003E5E6E">
              <w:t>summarise</w:t>
            </w:r>
            <w:proofErr w:type="spellEnd"/>
            <w:r w:rsidRPr="003E5E6E">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3E5E6E" w:rsidRPr="003E5E6E" w14:paraId="777ADA20" w14:textId="77777777" w:rsidTr="003E5E6E">
        <w:tc>
          <w:tcPr>
            <w:tcW w:w="0" w:type="auto"/>
            <w:vMerge/>
            <w:tcBorders>
              <w:top w:val="outset" w:sz="6" w:space="0" w:color="auto"/>
              <w:left w:val="outset" w:sz="6" w:space="0" w:color="auto"/>
              <w:bottom w:val="outset" w:sz="6" w:space="0" w:color="auto"/>
              <w:right w:val="outset" w:sz="6" w:space="0" w:color="auto"/>
            </w:tcBorders>
            <w:vAlign w:val="center"/>
            <w:hideMark/>
          </w:tcPr>
          <w:p w14:paraId="2FF4B81D" w14:textId="77777777" w:rsidR="003E5E6E" w:rsidRPr="003E5E6E" w:rsidRDefault="003E5E6E" w:rsidP="003E5E6E"/>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5A47F367" w14:textId="77777777" w:rsidR="003E5E6E" w:rsidRPr="003E5E6E" w:rsidRDefault="003E5E6E" w:rsidP="003E5E6E">
            <w:r w:rsidRPr="003E5E6E">
              <w:t>C1</w:t>
            </w:r>
          </w:p>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1551A02F" w14:textId="77777777" w:rsidR="003E5E6E" w:rsidRPr="003E5E6E" w:rsidRDefault="003E5E6E" w:rsidP="003E5E6E">
            <w:proofErr w:type="gramStart"/>
            <w:r w:rsidRPr="003E5E6E">
              <w:t>Can</w:t>
            </w:r>
            <w:proofErr w:type="gramEnd"/>
            <w:r w:rsidRPr="003E5E6E">
              <w:t xml:space="preserve"> understand a wide range of demanding, longer texts, and </w:t>
            </w:r>
            <w:proofErr w:type="spellStart"/>
            <w:r w:rsidRPr="003E5E6E">
              <w:t>recognise</w:t>
            </w:r>
            <w:proofErr w:type="spellEnd"/>
            <w:r w:rsidRPr="003E5E6E">
              <w:t xml:space="preserve"> implicit meaning. Can express him/herself fluently and spontaneously without much obvious searching for expressions. </w:t>
            </w:r>
            <w:proofErr w:type="gramStart"/>
            <w:r w:rsidRPr="003E5E6E">
              <w:t>Can</w:t>
            </w:r>
            <w:proofErr w:type="gramEnd"/>
            <w:r w:rsidRPr="003E5E6E">
              <w:t xml:space="preserve"> use language flexibly and effectively for social, academic and professional purposes. </w:t>
            </w:r>
            <w:proofErr w:type="gramStart"/>
            <w:r w:rsidRPr="003E5E6E">
              <w:t>Can</w:t>
            </w:r>
            <w:proofErr w:type="gramEnd"/>
            <w:r w:rsidRPr="003E5E6E">
              <w:t xml:space="preserve"> produce clear, well-structured, detailed text on complex subjects, showing controlled use of </w:t>
            </w:r>
            <w:proofErr w:type="spellStart"/>
            <w:r w:rsidRPr="003E5E6E">
              <w:t>organisational</w:t>
            </w:r>
            <w:proofErr w:type="spellEnd"/>
            <w:r w:rsidRPr="003E5E6E">
              <w:t xml:space="preserve"> patterns, connectors and cohesive devices.</w:t>
            </w:r>
          </w:p>
        </w:tc>
      </w:tr>
      <w:tr w:rsidR="003E5E6E" w:rsidRPr="003E5E6E" w14:paraId="528381EE" w14:textId="77777777" w:rsidTr="003E5E6E">
        <w:tc>
          <w:tcPr>
            <w:tcW w:w="0" w:type="auto"/>
            <w:vMerge w:val="restart"/>
            <w:tcBorders>
              <w:top w:val="outset" w:sz="6" w:space="0" w:color="auto"/>
              <w:left w:val="outset" w:sz="6" w:space="0" w:color="auto"/>
              <w:bottom w:val="outset" w:sz="6" w:space="0" w:color="auto"/>
              <w:right w:val="outset" w:sz="6" w:space="0" w:color="auto"/>
            </w:tcBorders>
            <w:shd w:val="clear" w:color="auto" w:fill="DDDDDD"/>
            <w:tcMar>
              <w:top w:w="168" w:type="dxa"/>
              <w:left w:w="168" w:type="dxa"/>
              <w:bottom w:w="168" w:type="dxa"/>
              <w:right w:w="168" w:type="dxa"/>
            </w:tcMar>
            <w:vAlign w:val="center"/>
            <w:hideMark/>
          </w:tcPr>
          <w:p w14:paraId="3F0F0086" w14:textId="77777777" w:rsidR="003E5E6E" w:rsidRPr="003E5E6E" w:rsidRDefault="003E5E6E" w:rsidP="003E5E6E">
            <w:r w:rsidRPr="003E5E6E">
              <w:rPr>
                <w:b/>
                <w:bCs/>
              </w:rPr>
              <w:t>INDEPENDENT USER</w:t>
            </w:r>
          </w:p>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3D93FB1B" w14:textId="77777777" w:rsidR="003E5E6E" w:rsidRPr="003E5E6E" w:rsidRDefault="003E5E6E" w:rsidP="003E5E6E">
            <w:r w:rsidRPr="003E5E6E">
              <w:t>B2</w:t>
            </w:r>
          </w:p>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71152042" w14:textId="7B29CC3C" w:rsidR="003E5E6E" w:rsidRPr="003E5E6E" w:rsidRDefault="003E5E6E" w:rsidP="003E5E6E">
            <w:r w:rsidRPr="003E5E6E">
              <w:t xml:space="preserve">Can understand the main ideas of complex </w:t>
            </w:r>
            <w:r w:rsidR="0084441E">
              <w:t>texts</w:t>
            </w:r>
            <w:r w:rsidRPr="003E5E6E">
              <w:t xml:space="preserve">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w:t>
            </w:r>
            <w:r w:rsidR="0084441E">
              <w:t>,</w:t>
            </w:r>
            <w:r w:rsidRPr="003E5E6E">
              <w:t xml:space="preserve"> giving the advantages and disadvantages of various options.</w:t>
            </w:r>
          </w:p>
        </w:tc>
      </w:tr>
      <w:tr w:rsidR="003E5E6E" w:rsidRPr="003E5E6E" w14:paraId="1114CD63" w14:textId="77777777" w:rsidTr="003E5E6E">
        <w:tc>
          <w:tcPr>
            <w:tcW w:w="0" w:type="auto"/>
            <w:vMerge/>
            <w:tcBorders>
              <w:top w:val="outset" w:sz="6" w:space="0" w:color="auto"/>
              <w:left w:val="outset" w:sz="6" w:space="0" w:color="auto"/>
              <w:bottom w:val="outset" w:sz="6" w:space="0" w:color="auto"/>
              <w:right w:val="outset" w:sz="6" w:space="0" w:color="auto"/>
            </w:tcBorders>
            <w:vAlign w:val="center"/>
            <w:hideMark/>
          </w:tcPr>
          <w:p w14:paraId="1A1C6E57" w14:textId="77777777" w:rsidR="003E5E6E" w:rsidRPr="003E5E6E" w:rsidRDefault="003E5E6E" w:rsidP="003E5E6E"/>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4FC1C224" w14:textId="77777777" w:rsidR="003E5E6E" w:rsidRPr="003E5E6E" w:rsidRDefault="003E5E6E" w:rsidP="003E5E6E">
            <w:r w:rsidRPr="003E5E6E">
              <w:t>B1</w:t>
            </w:r>
          </w:p>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5741C44E" w14:textId="77777777" w:rsidR="003E5E6E" w:rsidRPr="003E5E6E" w:rsidRDefault="003E5E6E" w:rsidP="003E5E6E">
            <w:r w:rsidRPr="003E5E6E">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w:t>
            </w:r>
          </w:p>
        </w:tc>
      </w:tr>
      <w:tr w:rsidR="003E5E6E" w:rsidRPr="003E5E6E" w14:paraId="40727458" w14:textId="77777777" w:rsidTr="003E5E6E">
        <w:tc>
          <w:tcPr>
            <w:tcW w:w="0" w:type="auto"/>
            <w:vMerge w:val="restart"/>
            <w:tcBorders>
              <w:top w:val="outset" w:sz="6" w:space="0" w:color="auto"/>
              <w:left w:val="outset" w:sz="6" w:space="0" w:color="auto"/>
              <w:bottom w:val="outset" w:sz="6" w:space="0" w:color="auto"/>
              <w:right w:val="outset" w:sz="6" w:space="0" w:color="auto"/>
            </w:tcBorders>
            <w:shd w:val="clear" w:color="auto" w:fill="DDDDDD"/>
            <w:tcMar>
              <w:top w:w="168" w:type="dxa"/>
              <w:left w:w="168" w:type="dxa"/>
              <w:bottom w:w="168" w:type="dxa"/>
              <w:right w:w="168" w:type="dxa"/>
            </w:tcMar>
            <w:vAlign w:val="center"/>
            <w:hideMark/>
          </w:tcPr>
          <w:p w14:paraId="66181BC4" w14:textId="77777777" w:rsidR="003E5E6E" w:rsidRPr="003E5E6E" w:rsidRDefault="003E5E6E" w:rsidP="003E5E6E">
            <w:r w:rsidRPr="003E5E6E">
              <w:rPr>
                <w:b/>
                <w:bCs/>
              </w:rPr>
              <w:t>BASIC</w:t>
            </w:r>
            <w:r w:rsidRPr="003E5E6E">
              <w:rPr>
                <w:b/>
                <w:bCs/>
              </w:rPr>
              <w:br/>
            </w:r>
            <w:r w:rsidRPr="003E5E6E">
              <w:rPr>
                <w:b/>
                <w:bCs/>
              </w:rPr>
              <w:lastRenderedPageBreak/>
              <w:t>USER</w:t>
            </w:r>
          </w:p>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45EE0F03" w14:textId="77777777" w:rsidR="003E5E6E" w:rsidRPr="003E5E6E" w:rsidRDefault="003E5E6E" w:rsidP="003E5E6E">
            <w:r w:rsidRPr="003E5E6E">
              <w:lastRenderedPageBreak/>
              <w:t>A2</w:t>
            </w:r>
          </w:p>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58C2B3A4" w14:textId="77777777" w:rsidR="003E5E6E" w:rsidRPr="003E5E6E" w:rsidRDefault="003E5E6E" w:rsidP="003E5E6E">
            <w:r w:rsidRPr="003E5E6E">
              <w:t xml:space="preserve">Can understand sentences and frequently used expressions related to areas of most immediate relevance (e.g. very basic personal and family information, shopping, local geography, employment). Can communicate in simple and routine tasks requiring a simple </w:t>
            </w:r>
            <w:r w:rsidRPr="003E5E6E">
              <w:lastRenderedPageBreak/>
              <w:t>and direct exchange of information on familiar and routine matters.  Can describe in simple terms aspects of his/her background, immediate environment and matters in areas of immediate need.</w:t>
            </w:r>
          </w:p>
        </w:tc>
      </w:tr>
      <w:tr w:rsidR="003E5E6E" w:rsidRPr="003E5E6E" w14:paraId="0EDBA6B1" w14:textId="77777777" w:rsidTr="003E5E6E">
        <w:tc>
          <w:tcPr>
            <w:tcW w:w="0" w:type="auto"/>
            <w:vMerge/>
            <w:tcBorders>
              <w:top w:val="outset" w:sz="6" w:space="0" w:color="auto"/>
              <w:left w:val="outset" w:sz="6" w:space="0" w:color="auto"/>
              <w:bottom w:val="outset" w:sz="6" w:space="0" w:color="auto"/>
              <w:right w:val="outset" w:sz="6" w:space="0" w:color="auto"/>
            </w:tcBorders>
            <w:vAlign w:val="center"/>
            <w:hideMark/>
          </w:tcPr>
          <w:p w14:paraId="01E61EAD" w14:textId="77777777" w:rsidR="003E5E6E" w:rsidRPr="003E5E6E" w:rsidRDefault="003E5E6E" w:rsidP="003E5E6E"/>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743389FE" w14:textId="77777777" w:rsidR="003E5E6E" w:rsidRPr="003E5E6E" w:rsidRDefault="003E5E6E" w:rsidP="003E5E6E">
            <w:r w:rsidRPr="003E5E6E">
              <w:t>A1</w:t>
            </w:r>
          </w:p>
        </w:tc>
        <w:tc>
          <w:tcPr>
            <w:tcW w:w="0" w:type="auto"/>
            <w:tcBorders>
              <w:top w:val="outset" w:sz="6" w:space="0" w:color="auto"/>
              <w:left w:val="outset" w:sz="6" w:space="0" w:color="auto"/>
              <w:bottom w:val="outset" w:sz="6" w:space="0" w:color="auto"/>
              <w:right w:val="outset" w:sz="6" w:space="0" w:color="auto"/>
            </w:tcBorders>
            <w:tcMar>
              <w:top w:w="168" w:type="dxa"/>
              <w:left w:w="168" w:type="dxa"/>
              <w:bottom w:w="168" w:type="dxa"/>
              <w:right w:w="168" w:type="dxa"/>
            </w:tcMar>
            <w:vAlign w:val="center"/>
            <w:hideMark/>
          </w:tcPr>
          <w:p w14:paraId="7841C97D" w14:textId="77777777" w:rsidR="003E5E6E" w:rsidRPr="003E5E6E" w:rsidRDefault="003E5E6E" w:rsidP="003E5E6E">
            <w:r w:rsidRPr="003E5E6E">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7EE6BC73" w14:textId="77777777" w:rsidR="003E5E6E" w:rsidRDefault="003E5E6E"/>
    <w:p w14:paraId="097ACB8C" w14:textId="77777777" w:rsidR="003E5E6E" w:rsidRPr="003E5E6E" w:rsidRDefault="003E5E6E" w:rsidP="003E5E6E">
      <w:r w:rsidRPr="003E5E6E">
        <w:t>Global scale - Table 1 (CEFR 3.3): Common Reference levels</w:t>
      </w:r>
    </w:p>
    <w:p w14:paraId="1D27A44A" w14:textId="54F9B4B8" w:rsidR="003E5E6E" w:rsidRPr="003E5E6E" w:rsidRDefault="003E5E6E" w:rsidP="003E5E6E">
      <w:r w:rsidRPr="003E5E6E">
        <w:t>Common European Framework of Reference for Languages (CEFR)</w:t>
      </w:r>
    </w:p>
    <w:p w14:paraId="71FDC7B8" w14:textId="77777777" w:rsidR="003E5E6E" w:rsidRPr="003E5E6E" w:rsidRDefault="003E5E6E" w:rsidP="003E5E6E">
      <w:r w:rsidRPr="003E5E6E">
        <w:t> </w:t>
      </w:r>
    </w:p>
    <w:p w14:paraId="7C734CB7" w14:textId="77777777" w:rsidR="003E5E6E" w:rsidRPr="003E5E6E" w:rsidRDefault="003E5E6E" w:rsidP="003E5E6E"/>
    <w:sectPr w:rsidR="003E5E6E" w:rsidRPr="003E5E6E" w:rsidSect="003E5E6E">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6E"/>
    <w:rsid w:val="00164B12"/>
    <w:rsid w:val="003E5E6E"/>
    <w:rsid w:val="008444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F0CC"/>
  <w15:chartTrackingRefBased/>
  <w15:docId w15:val="{A2E75A67-B8B2-43DA-8081-B43D1329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3E5E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3E5E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3E5E6E"/>
    <w:pPr>
      <w:keepNext/>
      <w:keepLines/>
      <w:spacing w:before="160" w:after="40"/>
      <w:outlineLvl w:val="2"/>
    </w:pPr>
    <w:rPr>
      <w:rFonts w:eastAsiaTheme="majorEastAsia"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3E5E6E"/>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3E5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E6E"/>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3E5E6E"/>
    <w:pPr>
      <w:keepNext/>
      <w:keepLines/>
      <w:spacing w:before="40" w:after="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E6E"/>
    <w:pPr>
      <w:keepNext/>
      <w:keepLines/>
      <w:spacing w:before="40" w:after="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3E5E6E"/>
    <w:pPr>
      <w:keepNext/>
      <w:keepLines/>
      <w:spacing w:before="40" w:after="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E6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3E5E6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E5E6E"/>
    <w:rPr>
      <w:rFonts w:eastAsiaTheme="majorEastAsia"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3E5E6E"/>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3E5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E6E"/>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3E5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E6E"/>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3E5E6E"/>
    <w:rPr>
      <w:rFonts w:eastAsiaTheme="majorEastAsia" w:cstheme="majorBidi"/>
      <w:color w:val="272727" w:themeColor="text1" w:themeTint="D8"/>
    </w:rPr>
  </w:style>
  <w:style w:type="paragraph" w:styleId="Title">
    <w:name w:val="Title"/>
    <w:basedOn w:val="Normal"/>
    <w:next w:val="Normal"/>
    <w:link w:val="TitleChar"/>
    <w:uiPriority w:val="10"/>
    <w:qFormat/>
    <w:rsid w:val="003E5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E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E6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E5E6E"/>
    <w:pPr>
      <w:spacing w:before="160"/>
      <w:jc w:val="center"/>
    </w:pPr>
    <w:rPr>
      <w:i/>
      <w:iCs/>
      <w:color w:val="404040" w:themeColor="text1" w:themeTint="BF"/>
    </w:rPr>
  </w:style>
  <w:style w:type="character" w:customStyle="1" w:styleId="QuoteChar">
    <w:name w:val="Quote Char"/>
    <w:basedOn w:val="DefaultParagraphFont"/>
    <w:link w:val="Quote"/>
    <w:uiPriority w:val="29"/>
    <w:rsid w:val="003E5E6E"/>
    <w:rPr>
      <w:i/>
      <w:iCs/>
      <w:color w:val="404040" w:themeColor="text1" w:themeTint="BF"/>
    </w:rPr>
  </w:style>
  <w:style w:type="paragraph" w:styleId="ListParagraph">
    <w:name w:val="List Paragraph"/>
    <w:basedOn w:val="Normal"/>
    <w:uiPriority w:val="34"/>
    <w:qFormat/>
    <w:rsid w:val="003E5E6E"/>
    <w:pPr>
      <w:ind w:left="720"/>
      <w:contextualSpacing/>
    </w:pPr>
  </w:style>
  <w:style w:type="character" w:styleId="IntenseEmphasis">
    <w:name w:val="Intense Emphasis"/>
    <w:basedOn w:val="DefaultParagraphFont"/>
    <w:uiPriority w:val="21"/>
    <w:qFormat/>
    <w:rsid w:val="003E5E6E"/>
    <w:rPr>
      <w:i/>
      <w:iCs/>
      <w:color w:val="0F4761" w:themeColor="accent1" w:themeShade="BF"/>
    </w:rPr>
  </w:style>
  <w:style w:type="paragraph" w:styleId="IntenseQuote">
    <w:name w:val="Intense Quote"/>
    <w:basedOn w:val="Normal"/>
    <w:next w:val="Normal"/>
    <w:link w:val="IntenseQuoteChar"/>
    <w:uiPriority w:val="30"/>
    <w:qFormat/>
    <w:rsid w:val="003E5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E6E"/>
    <w:rPr>
      <w:i/>
      <w:iCs/>
      <w:color w:val="0F4761" w:themeColor="accent1" w:themeShade="BF"/>
    </w:rPr>
  </w:style>
  <w:style w:type="character" w:styleId="IntenseReference">
    <w:name w:val="Intense Reference"/>
    <w:basedOn w:val="DefaultParagraphFont"/>
    <w:uiPriority w:val="32"/>
    <w:qFormat/>
    <w:rsid w:val="003E5E6E"/>
    <w:rPr>
      <w:b/>
      <w:bCs/>
      <w:smallCaps/>
      <w:color w:val="0F4761" w:themeColor="accent1" w:themeShade="BF"/>
      <w:spacing w:val="5"/>
    </w:rPr>
  </w:style>
  <w:style w:type="character" w:styleId="Hyperlink">
    <w:name w:val="Hyperlink"/>
    <w:basedOn w:val="DefaultParagraphFont"/>
    <w:uiPriority w:val="99"/>
    <w:unhideWhenUsed/>
    <w:rsid w:val="003E5E6E"/>
    <w:rPr>
      <w:color w:val="467886" w:themeColor="hyperlink"/>
      <w:u w:val="single"/>
    </w:rPr>
  </w:style>
  <w:style w:type="character" w:styleId="UnresolvedMention">
    <w:name w:val="Unresolved Mention"/>
    <w:basedOn w:val="DefaultParagraphFont"/>
    <w:uiPriority w:val="99"/>
    <w:semiHidden/>
    <w:unhideWhenUsed/>
    <w:rsid w:val="003E5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Taylor</dc:creator>
  <cp:keywords/>
  <dc:description/>
  <cp:lastModifiedBy>Leslie Taylor</cp:lastModifiedBy>
  <cp:revision>1</cp:revision>
  <dcterms:created xsi:type="dcterms:W3CDTF">2026-03-23T01:09:00Z</dcterms:created>
  <dcterms:modified xsi:type="dcterms:W3CDTF">2026-03-23T07:00:00Z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709d4398-4ddc-4a71-9ac9-1a571bf847d0</vt:lpwstr>
  </property>
</Properties>
</file>